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5FB" w:rsidRDefault="00B635FB" w:rsidP="00B635FB">
      <w:pPr>
        <w:spacing w:line="270" w:lineRule="atLeast"/>
        <w:jc w:val="center"/>
        <w:outlineLvl w:val="0"/>
        <w:rPr>
          <w:rFonts w:ascii="Arial" w:hAnsi="Arial" w:cs="Arial"/>
          <w:b/>
          <w:bCs/>
          <w:color w:val="000000"/>
          <w:kern w:val="36"/>
        </w:rPr>
      </w:pPr>
      <w:r>
        <w:rPr>
          <w:rFonts w:ascii="Arial" w:hAnsi="Arial" w:cs="Arial"/>
          <w:b/>
          <w:bCs/>
          <w:color w:val="000000"/>
          <w:kern w:val="36"/>
        </w:rPr>
        <w:t xml:space="preserve">FINRA SURVEY OF BROKER-DEALERS REGARDING </w:t>
      </w:r>
    </w:p>
    <w:p w:rsidR="00B635FB" w:rsidRDefault="00B635FB" w:rsidP="00B635FB">
      <w:pPr>
        <w:spacing w:line="270" w:lineRule="atLeast"/>
        <w:jc w:val="center"/>
        <w:outlineLvl w:val="0"/>
        <w:rPr>
          <w:rFonts w:ascii="Arial" w:hAnsi="Arial" w:cs="Arial"/>
          <w:b/>
          <w:bCs/>
          <w:color w:val="000000"/>
          <w:kern w:val="36"/>
        </w:rPr>
      </w:pPr>
      <w:r>
        <w:rPr>
          <w:rFonts w:ascii="Arial" w:hAnsi="Arial" w:cs="Arial"/>
          <w:b/>
          <w:bCs/>
          <w:color w:val="000000"/>
          <w:kern w:val="36"/>
        </w:rPr>
        <w:t>“SENIOR DESIGNATIONS”</w:t>
      </w:r>
    </w:p>
    <w:p w:rsidR="00B635FB" w:rsidRDefault="00B635FB" w:rsidP="009D7307">
      <w:pPr>
        <w:spacing w:line="270" w:lineRule="atLeast"/>
        <w:outlineLvl w:val="0"/>
        <w:rPr>
          <w:rFonts w:ascii="Arial" w:hAnsi="Arial" w:cs="Arial"/>
          <w:b/>
          <w:bCs/>
          <w:color w:val="000000"/>
          <w:kern w:val="36"/>
        </w:rPr>
      </w:pPr>
    </w:p>
    <w:p w:rsidR="009D7307" w:rsidRPr="009D7307" w:rsidRDefault="009D7307" w:rsidP="009D7307">
      <w:pPr>
        <w:spacing w:line="270" w:lineRule="atLeast"/>
        <w:outlineLvl w:val="0"/>
        <w:rPr>
          <w:rFonts w:ascii="Arial" w:hAnsi="Arial" w:cs="Arial"/>
          <w:b/>
          <w:bCs/>
          <w:color w:val="000000"/>
          <w:kern w:val="36"/>
        </w:rPr>
      </w:pPr>
      <w:r w:rsidRPr="009D7307">
        <w:rPr>
          <w:rFonts w:ascii="Arial" w:hAnsi="Arial" w:cs="Arial"/>
          <w:b/>
          <w:bCs/>
          <w:color w:val="000000"/>
          <w:kern w:val="36"/>
        </w:rPr>
        <w:t>Senior Designations</w:t>
      </w:r>
    </w:p>
    <w:p w:rsidR="009D7307" w:rsidRPr="009D7307" w:rsidRDefault="009D7307" w:rsidP="009D7307">
      <w:pPr>
        <w:spacing w:line="270" w:lineRule="atLeast"/>
        <w:rPr>
          <w:rFonts w:ascii="Arial" w:hAnsi="Arial" w:cs="Arial"/>
          <w:color w:val="000000"/>
          <w:sz w:val="19"/>
          <w:szCs w:val="19"/>
        </w:rPr>
      </w:pPr>
      <w:r w:rsidRPr="009D7307">
        <w:rPr>
          <w:rFonts w:ascii="Arial" w:hAnsi="Arial" w:cs="Arial"/>
          <w:color w:val="000000"/>
          <w:sz w:val="19"/>
          <w:szCs w:val="19"/>
        </w:rPr>
        <w:t>Today in the United States, nearly 40 million people are age 65 and older. This number is expected to more than double to 89 million by 2050. In light of these demographics and other considerations, FINRA continues to view the protection of senior investors as a top priority. An important aspect of protecting senior investors focuses on the use of senior-specific certifications and professional designations that may be used to imply expertise, certification, training or specialty in advising senior investors.</w:t>
      </w:r>
    </w:p>
    <w:p w:rsidR="009D7307" w:rsidRPr="009D7307" w:rsidRDefault="009D7307" w:rsidP="009D7307">
      <w:pPr>
        <w:spacing w:line="270" w:lineRule="atLeast"/>
        <w:rPr>
          <w:rFonts w:ascii="Arial" w:hAnsi="Arial" w:cs="Arial"/>
          <w:color w:val="000000"/>
          <w:sz w:val="19"/>
          <w:szCs w:val="19"/>
        </w:rPr>
      </w:pPr>
      <w:r w:rsidRPr="009D7307">
        <w:rPr>
          <w:rFonts w:ascii="Arial" w:hAnsi="Arial" w:cs="Arial"/>
          <w:b/>
          <w:bCs/>
          <w:color w:val="000000"/>
          <w:sz w:val="19"/>
          <w:szCs w:val="19"/>
        </w:rPr>
        <w:t>2011 Senior Designation Survey Results</w:t>
      </w:r>
    </w:p>
    <w:p w:rsidR="009D7307" w:rsidRPr="009D7307" w:rsidRDefault="009D7307" w:rsidP="009D7307">
      <w:pPr>
        <w:spacing w:line="270" w:lineRule="atLeast"/>
        <w:rPr>
          <w:rFonts w:ascii="Arial" w:hAnsi="Arial" w:cs="Arial"/>
          <w:color w:val="000000"/>
          <w:sz w:val="19"/>
          <w:szCs w:val="19"/>
        </w:rPr>
      </w:pPr>
      <w:r w:rsidRPr="009D7307">
        <w:rPr>
          <w:rFonts w:ascii="Arial" w:hAnsi="Arial" w:cs="Arial"/>
          <w:color w:val="000000"/>
          <w:sz w:val="19"/>
          <w:szCs w:val="19"/>
        </w:rPr>
        <w:t xml:space="preserve">In January 2011, FINRA conducted a firm survey of retail broker-dealer firms that varied in terms of size, location, product mix and business model to obtain information regarding the use and oversight of senior designations. This survey is part of FINRA's ongoing efforts to focus on firms' fair dealings with senior investors. FINRA previously issued </w:t>
      </w:r>
      <w:hyperlink r:id="rId6" w:history="1">
        <w:r w:rsidRPr="009D7307">
          <w:rPr>
            <w:rFonts w:ascii="Arial" w:hAnsi="Arial" w:cs="Arial"/>
            <w:color w:val="336699"/>
            <w:sz w:val="19"/>
            <w:szCs w:val="19"/>
          </w:rPr>
          <w:t>Regulatory Notice 07-43</w:t>
        </w:r>
      </w:hyperlink>
      <w:r w:rsidRPr="009D7307">
        <w:rPr>
          <w:rFonts w:ascii="Arial" w:hAnsi="Arial" w:cs="Arial"/>
          <w:color w:val="000000"/>
          <w:sz w:val="19"/>
          <w:szCs w:val="19"/>
        </w:rPr>
        <w:t xml:space="preserve">, which highlighted certain issues that are common to senior investors and reminded firms of their obligations in this area. Additionally, in the </w:t>
      </w:r>
      <w:hyperlink r:id="rId7" w:history="1">
        <w:r w:rsidRPr="009D7307">
          <w:rPr>
            <w:rFonts w:ascii="Arial" w:hAnsi="Arial" w:cs="Arial"/>
            <w:color w:val="336699"/>
            <w:sz w:val="19"/>
            <w:szCs w:val="19"/>
          </w:rPr>
          <w:t>2011 Annual Regulatory and Examination Priorities Letter</w:t>
        </w:r>
      </w:hyperlink>
      <w:r w:rsidRPr="009D7307">
        <w:rPr>
          <w:rFonts w:ascii="Arial" w:hAnsi="Arial" w:cs="Arial"/>
          <w:color w:val="000000"/>
          <w:sz w:val="19"/>
          <w:szCs w:val="19"/>
        </w:rPr>
        <w:t xml:space="preserve">, FINRA reiterated that the protection of vulnerable customers, including senior investors, continues to be a high regulatory priority. </w:t>
      </w:r>
      <w:hyperlink r:id="rId8" w:history="1">
        <w:r w:rsidRPr="009D7307">
          <w:rPr>
            <w:rFonts w:ascii="Arial" w:hAnsi="Arial" w:cs="Arial"/>
            <w:color w:val="336699"/>
            <w:sz w:val="19"/>
            <w:szCs w:val="19"/>
          </w:rPr>
          <w:t>Regulatory Notice 11-52</w:t>
        </w:r>
      </w:hyperlink>
      <w:r w:rsidRPr="009D7307">
        <w:rPr>
          <w:rFonts w:ascii="Arial" w:hAnsi="Arial" w:cs="Arial"/>
          <w:color w:val="000000"/>
          <w:sz w:val="19"/>
          <w:szCs w:val="19"/>
        </w:rPr>
        <w:t xml:space="preserve"> includes further information regarding the 2011 survey.</w:t>
      </w:r>
    </w:p>
    <w:p w:rsidR="009D7307" w:rsidRPr="009D7307" w:rsidRDefault="009D7307" w:rsidP="009D7307">
      <w:pPr>
        <w:spacing w:line="270" w:lineRule="atLeast"/>
        <w:rPr>
          <w:rFonts w:ascii="Arial" w:hAnsi="Arial" w:cs="Arial"/>
          <w:color w:val="000000"/>
          <w:sz w:val="19"/>
          <w:szCs w:val="19"/>
        </w:rPr>
      </w:pPr>
      <w:r w:rsidRPr="009D7307">
        <w:rPr>
          <w:rFonts w:ascii="Arial" w:hAnsi="Arial" w:cs="Arial"/>
          <w:color w:val="000000"/>
          <w:sz w:val="19"/>
          <w:szCs w:val="19"/>
        </w:rPr>
        <w:t>We received survey responses from 157 firms. The survey results show that for those firms responding, 68 percent of firms allow the use of senior designations by registered persons. Of the firms that permit the use of senior designations:</w:t>
      </w:r>
    </w:p>
    <w:p w:rsidR="009D7307" w:rsidRPr="009D7307" w:rsidRDefault="009D7307" w:rsidP="009D7307">
      <w:pPr>
        <w:numPr>
          <w:ilvl w:val="0"/>
          <w:numId w:val="1"/>
        </w:numPr>
        <w:spacing w:line="270" w:lineRule="atLeast"/>
        <w:ind w:left="1095"/>
        <w:rPr>
          <w:rFonts w:ascii="Arial" w:hAnsi="Arial" w:cs="Arial"/>
          <w:color w:val="000000"/>
          <w:sz w:val="19"/>
          <w:szCs w:val="19"/>
        </w:rPr>
      </w:pPr>
      <w:r w:rsidRPr="009D7307">
        <w:rPr>
          <w:rFonts w:ascii="Arial" w:hAnsi="Arial" w:cs="Arial"/>
          <w:color w:val="000000"/>
          <w:sz w:val="19"/>
          <w:szCs w:val="19"/>
        </w:rPr>
        <w:t>89 percent currently have registered persons who use senior designations; and</w:t>
      </w:r>
    </w:p>
    <w:p w:rsidR="009D7307" w:rsidRPr="009D7307" w:rsidRDefault="009D7307" w:rsidP="009D7307">
      <w:pPr>
        <w:numPr>
          <w:ilvl w:val="0"/>
          <w:numId w:val="1"/>
        </w:numPr>
        <w:spacing w:line="270" w:lineRule="atLeast"/>
        <w:ind w:left="1095"/>
        <w:rPr>
          <w:rFonts w:ascii="Arial" w:hAnsi="Arial" w:cs="Arial"/>
          <w:color w:val="000000"/>
          <w:sz w:val="19"/>
          <w:szCs w:val="19"/>
        </w:rPr>
      </w:pPr>
      <w:r w:rsidRPr="009D7307">
        <w:rPr>
          <w:rFonts w:ascii="Arial" w:hAnsi="Arial" w:cs="Arial"/>
          <w:color w:val="000000"/>
          <w:sz w:val="19"/>
          <w:szCs w:val="19"/>
        </w:rPr>
        <w:t>11 percent do not have any registered persons using senior designations at this time.</w:t>
      </w:r>
    </w:p>
    <w:p w:rsidR="009D7307" w:rsidRPr="009D7307" w:rsidRDefault="009D7307" w:rsidP="009D7307">
      <w:pPr>
        <w:spacing w:line="270" w:lineRule="atLeast"/>
        <w:rPr>
          <w:rFonts w:ascii="Arial" w:hAnsi="Arial" w:cs="Arial"/>
          <w:color w:val="000000"/>
          <w:sz w:val="19"/>
          <w:szCs w:val="19"/>
        </w:rPr>
      </w:pPr>
      <w:r w:rsidRPr="009D7307">
        <w:rPr>
          <w:rFonts w:ascii="Arial" w:hAnsi="Arial" w:cs="Arial"/>
          <w:color w:val="000000"/>
          <w:sz w:val="19"/>
          <w:szCs w:val="19"/>
        </w:rPr>
        <w:t>Firms that allow the use of senior designations were also asked if they required registered persons to obtain senior or other professional designations prior to marketing certain products to senior investors. Only two firms responded affirmatively to this question.</w:t>
      </w:r>
    </w:p>
    <w:p w:rsidR="009D7307" w:rsidRPr="009D7307" w:rsidRDefault="009D7307" w:rsidP="009D7307">
      <w:pPr>
        <w:spacing w:line="270" w:lineRule="atLeast"/>
        <w:rPr>
          <w:rFonts w:ascii="Arial" w:hAnsi="Arial" w:cs="Arial"/>
          <w:color w:val="000000"/>
          <w:sz w:val="19"/>
          <w:szCs w:val="19"/>
        </w:rPr>
      </w:pPr>
      <w:r w:rsidRPr="009D7307">
        <w:rPr>
          <w:rFonts w:ascii="Arial" w:hAnsi="Arial" w:cs="Arial"/>
          <w:color w:val="000000"/>
          <w:sz w:val="19"/>
          <w:szCs w:val="19"/>
        </w:rPr>
        <w:t>Below are aggregate survey results of those firms that have registered persons who use senior designations:</w:t>
      </w:r>
    </w:p>
    <w:tbl>
      <w:tblPr>
        <w:tblW w:w="5000" w:type="pct"/>
        <w:tblBorders>
          <w:top w:val="single" w:sz="6" w:space="0" w:color="C0C0C0"/>
          <w:left w:val="single" w:sz="6" w:space="0" w:color="C0C0C0"/>
          <w:bottom w:val="single" w:sz="6" w:space="0" w:color="C0C0C0"/>
          <w:right w:val="single" w:sz="6" w:space="0" w:color="C0C0C0"/>
        </w:tblBorders>
        <w:tblCellMar>
          <w:top w:w="60" w:type="dxa"/>
          <w:left w:w="60" w:type="dxa"/>
          <w:bottom w:w="60" w:type="dxa"/>
          <w:right w:w="60" w:type="dxa"/>
        </w:tblCellMar>
        <w:tblLook w:val="04A0" w:firstRow="1" w:lastRow="0" w:firstColumn="1" w:lastColumn="0" w:noHBand="0" w:noVBand="1"/>
      </w:tblPr>
      <w:tblGrid>
        <w:gridCol w:w="6570"/>
        <w:gridCol w:w="1095"/>
        <w:gridCol w:w="1095"/>
      </w:tblGrid>
      <w:tr w:rsidR="009D7307" w:rsidRPr="009D7307" w:rsidTr="009D7307">
        <w:tc>
          <w:tcPr>
            <w:tcW w:w="3750" w:type="pct"/>
            <w:tcBorders>
              <w:right w:val="single" w:sz="6" w:space="0" w:color="C0C0C0"/>
            </w:tcBorders>
            <w:shd w:val="clear" w:color="auto" w:fill="DEDEDB"/>
            <w:vAlign w:val="bottom"/>
            <w:hideMark/>
          </w:tcPr>
          <w:p w:rsidR="009D7307" w:rsidRPr="009D7307" w:rsidRDefault="009D7307" w:rsidP="009D7307">
            <w:pPr>
              <w:rPr>
                <w:rFonts w:ascii="Arial" w:hAnsi="Arial" w:cs="Arial"/>
                <w:color w:val="000000"/>
                <w:sz w:val="19"/>
                <w:szCs w:val="19"/>
              </w:rPr>
            </w:pPr>
          </w:p>
        </w:tc>
        <w:tc>
          <w:tcPr>
            <w:tcW w:w="1250" w:type="pct"/>
            <w:gridSpan w:val="2"/>
            <w:tcBorders>
              <w:bottom w:val="single" w:sz="12" w:space="0" w:color="C0C0C0"/>
              <w:right w:val="single" w:sz="6" w:space="0" w:color="C0C0C0"/>
            </w:tcBorders>
            <w:shd w:val="clear" w:color="auto" w:fill="DEDEDB"/>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b/>
                <w:bCs/>
                <w:color w:val="000000"/>
                <w:sz w:val="19"/>
                <w:szCs w:val="19"/>
              </w:rPr>
              <w:t>Response</w:t>
            </w:r>
          </w:p>
        </w:tc>
      </w:tr>
      <w:tr w:rsidR="009D7307" w:rsidRPr="009D7307" w:rsidTr="009D7307">
        <w:tc>
          <w:tcPr>
            <w:tcW w:w="0" w:type="auto"/>
            <w:tcBorders>
              <w:bottom w:val="single" w:sz="6" w:space="0" w:color="C0C0C0"/>
              <w:right w:val="single" w:sz="6" w:space="0" w:color="C0C0C0"/>
            </w:tcBorders>
            <w:shd w:val="clear" w:color="auto" w:fill="DEDEDB"/>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b/>
                <w:bCs/>
                <w:color w:val="000000"/>
                <w:sz w:val="19"/>
                <w:szCs w:val="19"/>
              </w:rPr>
              <w:t>Question</w:t>
            </w:r>
          </w:p>
        </w:tc>
        <w:tc>
          <w:tcPr>
            <w:tcW w:w="0" w:type="auto"/>
            <w:tcBorders>
              <w:bottom w:val="single" w:sz="12" w:space="0" w:color="C0C0C0"/>
              <w:right w:val="single" w:sz="6" w:space="0" w:color="C0C0C0"/>
            </w:tcBorders>
            <w:shd w:val="clear" w:color="auto" w:fill="DEDEDB"/>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b/>
                <w:bCs/>
                <w:color w:val="000000"/>
                <w:sz w:val="19"/>
                <w:szCs w:val="19"/>
              </w:rPr>
              <w:t>Yes</w:t>
            </w:r>
          </w:p>
        </w:tc>
        <w:tc>
          <w:tcPr>
            <w:tcW w:w="0" w:type="auto"/>
            <w:tcBorders>
              <w:bottom w:val="single" w:sz="12" w:space="0" w:color="C0C0C0"/>
              <w:right w:val="single" w:sz="6" w:space="0" w:color="C0C0C0"/>
            </w:tcBorders>
            <w:shd w:val="clear" w:color="auto" w:fill="DEDEDB"/>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b/>
                <w:bCs/>
                <w:color w:val="000000"/>
                <w:sz w:val="19"/>
                <w:szCs w:val="19"/>
              </w:rPr>
              <w:t>No</w:t>
            </w:r>
          </w:p>
        </w:tc>
      </w:tr>
      <w:tr w:rsidR="009D7307" w:rsidRPr="009D7307" w:rsidTr="009D7307">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Does your firm require registered persons to obtain approval prior to using senior designations?</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89%</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11%</w:t>
            </w:r>
          </w:p>
        </w:tc>
      </w:tr>
      <w:tr w:rsidR="009D7307" w:rsidRPr="009D7307" w:rsidTr="009D7307">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Does your firm have standards for determining which senior designations can be used by registered persons?</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97%</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3%</w:t>
            </w:r>
          </w:p>
        </w:tc>
      </w:tr>
      <w:tr w:rsidR="009D7307" w:rsidRPr="009D7307" w:rsidTr="009D7307">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If yes, please describe the standards used by your firm.</w:t>
            </w:r>
          </w:p>
        </w:tc>
        <w:tc>
          <w:tcPr>
            <w:tcW w:w="0" w:type="auto"/>
            <w:gridSpan w:val="2"/>
            <w:tcBorders>
              <w:bottom w:val="single" w:sz="6" w:space="0" w:color="C0C0C0"/>
              <w:right w:val="single" w:sz="6" w:space="0" w:color="C0C0C0"/>
            </w:tcBorders>
            <w:vAlign w:val="center"/>
            <w:hideMark/>
          </w:tcPr>
          <w:p w:rsidR="009D7307" w:rsidRPr="009D7307" w:rsidRDefault="00B635FB" w:rsidP="009D7307">
            <w:pPr>
              <w:spacing w:before="30" w:after="30" w:line="270" w:lineRule="atLeast"/>
              <w:ind w:left="30" w:right="30"/>
              <w:jc w:val="center"/>
              <w:rPr>
                <w:rFonts w:ascii="Arial" w:hAnsi="Arial" w:cs="Arial"/>
                <w:color w:val="000000"/>
                <w:sz w:val="19"/>
                <w:szCs w:val="19"/>
              </w:rPr>
            </w:pPr>
            <w:hyperlink r:id="rId9" w:history="1">
              <w:r w:rsidR="009D7307" w:rsidRPr="009D7307">
                <w:rPr>
                  <w:rFonts w:ascii="Arial" w:hAnsi="Arial" w:cs="Arial"/>
                  <w:color w:val="336699"/>
                  <w:sz w:val="19"/>
                  <w:szCs w:val="19"/>
                </w:rPr>
                <w:t>Regulatory Notice 11-52</w:t>
              </w:r>
            </w:hyperlink>
            <w:r w:rsidR="009D7307" w:rsidRPr="009D7307">
              <w:rPr>
                <w:rFonts w:ascii="Arial" w:hAnsi="Arial" w:cs="Arial"/>
                <w:color w:val="000000"/>
                <w:sz w:val="19"/>
                <w:szCs w:val="19"/>
              </w:rPr>
              <w:t xml:space="preserve"> includes information regarding certain responses to this question.</w:t>
            </w:r>
          </w:p>
        </w:tc>
      </w:tr>
      <w:tr w:rsidR="009D7307" w:rsidRPr="009D7307" w:rsidTr="009D7307">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Does your firm verify that registered persons using senior designations have the required credentials to do so?</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77%</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23%</w:t>
            </w:r>
          </w:p>
        </w:tc>
      </w:tr>
      <w:tr w:rsidR="009D7307" w:rsidRPr="009D7307" w:rsidTr="009D7307">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 xml:space="preserve">Has your firm reviewed the requirements for obtaining and retaining senior </w:t>
            </w:r>
            <w:r w:rsidRPr="009D7307">
              <w:rPr>
                <w:rFonts w:ascii="Arial" w:hAnsi="Arial" w:cs="Arial"/>
                <w:color w:val="000000"/>
                <w:sz w:val="19"/>
                <w:szCs w:val="19"/>
              </w:rPr>
              <w:lastRenderedPageBreak/>
              <w:t>designations that are used by registered persons?</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lastRenderedPageBreak/>
              <w:t>98%</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2%</w:t>
            </w:r>
          </w:p>
        </w:tc>
      </w:tr>
      <w:tr w:rsidR="009D7307" w:rsidRPr="009D7307" w:rsidTr="009D7307">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lastRenderedPageBreak/>
              <w:t>Does your firm require that registered persons have senior or other professional designations prior to marketing certain products to seniors?</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3%</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97%</w:t>
            </w:r>
          </w:p>
        </w:tc>
      </w:tr>
      <w:tr w:rsidR="009D7307" w:rsidRPr="009D7307" w:rsidTr="009D7307">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Does your firm prohibit the use of certain designations?</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73%</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27%</w:t>
            </w:r>
          </w:p>
        </w:tc>
      </w:tr>
      <w:tr w:rsidR="009D7307" w:rsidRPr="009D7307" w:rsidTr="009D7307">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Explain how your firm monitors for the appropriate use of senior designations in communications (verbal and written) with customers.</w:t>
            </w:r>
          </w:p>
        </w:tc>
        <w:tc>
          <w:tcPr>
            <w:tcW w:w="0" w:type="auto"/>
            <w:gridSpan w:val="2"/>
            <w:tcBorders>
              <w:bottom w:val="single" w:sz="6" w:space="0" w:color="C0C0C0"/>
              <w:right w:val="single" w:sz="6" w:space="0" w:color="C0C0C0"/>
            </w:tcBorders>
            <w:shd w:val="clear" w:color="auto" w:fill="F8F8F8"/>
            <w:vAlign w:val="center"/>
            <w:hideMark/>
          </w:tcPr>
          <w:p w:rsidR="009D7307" w:rsidRPr="009D7307" w:rsidRDefault="00B635FB" w:rsidP="009D7307">
            <w:pPr>
              <w:spacing w:before="30" w:after="30" w:line="270" w:lineRule="atLeast"/>
              <w:ind w:left="30" w:right="30"/>
              <w:jc w:val="center"/>
              <w:rPr>
                <w:rFonts w:ascii="Arial" w:hAnsi="Arial" w:cs="Arial"/>
                <w:color w:val="000000"/>
                <w:sz w:val="19"/>
                <w:szCs w:val="19"/>
              </w:rPr>
            </w:pPr>
            <w:hyperlink r:id="rId10" w:history="1">
              <w:r w:rsidR="009D7307" w:rsidRPr="009D7307">
                <w:rPr>
                  <w:rFonts w:ascii="Arial" w:hAnsi="Arial" w:cs="Arial"/>
                  <w:color w:val="336699"/>
                  <w:sz w:val="19"/>
                  <w:szCs w:val="19"/>
                </w:rPr>
                <w:t>Regulatory Notice 11-52</w:t>
              </w:r>
            </w:hyperlink>
            <w:r w:rsidR="009D7307" w:rsidRPr="009D7307">
              <w:rPr>
                <w:rFonts w:ascii="Arial" w:hAnsi="Arial" w:cs="Arial"/>
                <w:color w:val="000000"/>
                <w:sz w:val="19"/>
                <w:szCs w:val="19"/>
              </w:rPr>
              <w:t xml:space="preserve"> includes information regarding certain responses to this question.</w:t>
            </w:r>
          </w:p>
        </w:tc>
      </w:tr>
    </w:tbl>
    <w:p w:rsidR="009D7307" w:rsidRPr="009D7307" w:rsidRDefault="009D7307" w:rsidP="009D7307">
      <w:pPr>
        <w:spacing w:line="270" w:lineRule="atLeast"/>
        <w:rPr>
          <w:rFonts w:ascii="Arial" w:hAnsi="Arial" w:cs="Arial"/>
          <w:vanish/>
          <w:color w:val="000000"/>
        </w:rPr>
      </w:pPr>
    </w:p>
    <w:tbl>
      <w:tblPr>
        <w:tblW w:w="5000" w:type="pct"/>
        <w:tblBorders>
          <w:top w:val="single" w:sz="6" w:space="0" w:color="C0C0C0"/>
          <w:left w:val="single" w:sz="6" w:space="0" w:color="C0C0C0"/>
          <w:bottom w:val="single" w:sz="6" w:space="0" w:color="C0C0C0"/>
          <w:right w:val="single" w:sz="6" w:space="0" w:color="C0C0C0"/>
        </w:tblBorders>
        <w:tblCellMar>
          <w:top w:w="60" w:type="dxa"/>
          <w:left w:w="60" w:type="dxa"/>
          <w:bottom w:w="60" w:type="dxa"/>
          <w:right w:w="60" w:type="dxa"/>
        </w:tblCellMar>
        <w:tblLook w:val="04A0" w:firstRow="1" w:lastRow="0" w:firstColumn="1" w:lastColumn="0" w:noHBand="0" w:noVBand="1"/>
      </w:tblPr>
      <w:tblGrid>
        <w:gridCol w:w="2539"/>
        <w:gridCol w:w="6221"/>
      </w:tblGrid>
      <w:tr w:rsidR="009D7307" w:rsidRPr="009D7307" w:rsidTr="009D7307">
        <w:tc>
          <w:tcPr>
            <w:tcW w:w="0" w:type="auto"/>
            <w:gridSpan w:val="2"/>
            <w:tcBorders>
              <w:bottom w:val="single" w:sz="12" w:space="0" w:color="C0C0C0"/>
              <w:right w:val="single" w:sz="6" w:space="0" w:color="C0C0C0"/>
            </w:tcBorders>
            <w:shd w:val="clear" w:color="auto" w:fill="DEDEDB"/>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b/>
                <w:bCs/>
                <w:color w:val="000000"/>
                <w:sz w:val="19"/>
                <w:szCs w:val="19"/>
              </w:rPr>
              <w:t>How many registered persons use one or more senior designations?</w:t>
            </w:r>
          </w:p>
        </w:tc>
      </w:tr>
      <w:tr w:rsidR="009D7307" w:rsidRPr="009D7307" w:rsidTr="009D7307">
        <w:tc>
          <w:tcPr>
            <w:tcW w:w="0" w:type="auto"/>
            <w:tcBorders>
              <w:bottom w:val="single" w:sz="12" w:space="0" w:color="C0C0C0"/>
              <w:right w:val="single" w:sz="6" w:space="0" w:color="C0C0C0"/>
            </w:tcBorders>
            <w:shd w:val="clear" w:color="auto" w:fill="DEDEDB"/>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b/>
                <w:bCs/>
                <w:color w:val="000000"/>
                <w:sz w:val="19"/>
                <w:szCs w:val="19"/>
              </w:rPr>
              <w:t>Range</w:t>
            </w:r>
          </w:p>
        </w:tc>
        <w:tc>
          <w:tcPr>
            <w:tcW w:w="0" w:type="auto"/>
            <w:tcBorders>
              <w:bottom w:val="single" w:sz="12" w:space="0" w:color="C0C0C0"/>
              <w:right w:val="single" w:sz="6" w:space="0" w:color="C0C0C0"/>
            </w:tcBorders>
            <w:shd w:val="clear" w:color="auto" w:fill="DEDEDB"/>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b/>
                <w:bCs/>
                <w:color w:val="000000"/>
                <w:sz w:val="19"/>
                <w:szCs w:val="19"/>
              </w:rPr>
              <w:t>Percentage of Respondents</w:t>
            </w:r>
          </w:p>
        </w:tc>
      </w:tr>
      <w:tr w:rsidR="009D7307" w:rsidRPr="009D7307" w:rsidTr="009D7307">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b/>
                <w:bCs/>
                <w:color w:val="000000"/>
                <w:sz w:val="19"/>
                <w:szCs w:val="19"/>
              </w:rPr>
              <w:t>1 to 5</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21%</w:t>
            </w:r>
          </w:p>
        </w:tc>
      </w:tr>
      <w:tr w:rsidR="009D7307" w:rsidRPr="009D7307" w:rsidTr="009D7307">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b/>
                <w:bCs/>
                <w:color w:val="000000"/>
                <w:sz w:val="19"/>
                <w:szCs w:val="19"/>
              </w:rPr>
              <w:t>6 to 20</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31%</w:t>
            </w:r>
          </w:p>
        </w:tc>
      </w:tr>
      <w:tr w:rsidR="009D7307" w:rsidRPr="009D7307" w:rsidTr="009D7307">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b/>
                <w:bCs/>
                <w:color w:val="000000"/>
                <w:sz w:val="19"/>
                <w:szCs w:val="19"/>
              </w:rPr>
              <w:t>21 to 50</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20%</w:t>
            </w:r>
          </w:p>
        </w:tc>
      </w:tr>
      <w:tr w:rsidR="009D7307" w:rsidRPr="009D7307" w:rsidTr="009D7307">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b/>
                <w:bCs/>
                <w:color w:val="000000"/>
                <w:sz w:val="19"/>
                <w:szCs w:val="19"/>
              </w:rPr>
              <w:t>51 to 100</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13%</w:t>
            </w:r>
          </w:p>
        </w:tc>
      </w:tr>
      <w:tr w:rsidR="009D7307" w:rsidRPr="009D7307" w:rsidTr="009D7307">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b/>
                <w:bCs/>
                <w:color w:val="000000"/>
                <w:sz w:val="19"/>
                <w:szCs w:val="19"/>
              </w:rPr>
              <w:t>101 to 250</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5%</w:t>
            </w:r>
          </w:p>
        </w:tc>
      </w:tr>
      <w:tr w:rsidR="009D7307" w:rsidRPr="009D7307" w:rsidTr="009D7307">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b/>
                <w:bCs/>
                <w:color w:val="000000"/>
                <w:sz w:val="19"/>
                <w:szCs w:val="19"/>
              </w:rPr>
              <w:t>250+</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10%</w:t>
            </w:r>
          </w:p>
        </w:tc>
      </w:tr>
    </w:tbl>
    <w:p w:rsidR="009D7307" w:rsidRPr="009D7307" w:rsidRDefault="009D7307" w:rsidP="009D7307">
      <w:pPr>
        <w:spacing w:line="270" w:lineRule="atLeast"/>
        <w:rPr>
          <w:rFonts w:ascii="Arial" w:hAnsi="Arial" w:cs="Arial"/>
          <w:vanish/>
          <w:color w:val="000000"/>
        </w:rPr>
      </w:pPr>
    </w:p>
    <w:tbl>
      <w:tblPr>
        <w:tblW w:w="5000" w:type="pct"/>
        <w:tblBorders>
          <w:top w:val="single" w:sz="6" w:space="0" w:color="C0C0C0"/>
          <w:left w:val="single" w:sz="6" w:space="0" w:color="C0C0C0"/>
          <w:bottom w:val="single" w:sz="6" w:space="0" w:color="C0C0C0"/>
          <w:right w:val="single" w:sz="6" w:space="0" w:color="C0C0C0"/>
        </w:tblBorders>
        <w:tblCellMar>
          <w:top w:w="60" w:type="dxa"/>
          <w:left w:w="60" w:type="dxa"/>
          <w:bottom w:w="60" w:type="dxa"/>
          <w:right w:w="60" w:type="dxa"/>
        </w:tblCellMar>
        <w:tblLook w:val="04A0" w:firstRow="1" w:lastRow="0" w:firstColumn="1" w:lastColumn="0" w:noHBand="0" w:noVBand="1"/>
      </w:tblPr>
      <w:tblGrid>
        <w:gridCol w:w="3982"/>
        <w:gridCol w:w="1882"/>
        <w:gridCol w:w="2896"/>
      </w:tblGrid>
      <w:tr w:rsidR="009D7307" w:rsidRPr="009D7307" w:rsidTr="009D7307">
        <w:tc>
          <w:tcPr>
            <w:tcW w:w="0" w:type="auto"/>
            <w:gridSpan w:val="3"/>
            <w:tcBorders>
              <w:bottom w:val="single" w:sz="12" w:space="0" w:color="C0C0C0"/>
              <w:right w:val="single" w:sz="6" w:space="0" w:color="C0C0C0"/>
            </w:tcBorders>
            <w:shd w:val="clear" w:color="auto" w:fill="DEDEDB"/>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b/>
                <w:bCs/>
                <w:color w:val="000000"/>
                <w:sz w:val="19"/>
                <w:szCs w:val="19"/>
              </w:rPr>
              <w:t>Senior Designations Currently in Use and/or Prohibited by Firms</w:t>
            </w:r>
          </w:p>
        </w:tc>
      </w:tr>
      <w:tr w:rsidR="009D7307" w:rsidRPr="009D7307" w:rsidTr="009D7307">
        <w:tc>
          <w:tcPr>
            <w:tcW w:w="0" w:type="auto"/>
            <w:tcBorders>
              <w:bottom w:val="single" w:sz="12" w:space="0" w:color="C0C0C0"/>
              <w:right w:val="single" w:sz="6" w:space="0" w:color="C0C0C0"/>
            </w:tcBorders>
            <w:shd w:val="clear" w:color="auto" w:fill="DEDEDB"/>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b/>
                <w:bCs/>
                <w:color w:val="000000"/>
                <w:sz w:val="19"/>
                <w:szCs w:val="19"/>
              </w:rPr>
              <w:t>Designation/Accreditation</w:t>
            </w:r>
          </w:p>
        </w:tc>
        <w:tc>
          <w:tcPr>
            <w:tcW w:w="0" w:type="auto"/>
            <w:tcBorders>
              <w:bottom w:val="single" w:sz="12" w:space="0" w:color="C0C0C0"/>
              <w:right w:val="single" w:sz="6" w:space="0" w:color="C0C0C0"/>
            </w:tcBorders>
            <w:shd w:val="clear" w:color="auto" w:fill="DEDEDB"/>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b/>
                <w:bCs/>
                <w:color w:val="000000"/>
                <w:sz w:val="19"/>
                <w:szCs w:val="19"/>
              </w:rPr>
              <w:t>In Use</w:t>
            </w:r>
          </w:p>
        </w:tc>
        <w:tc>
          <w:tcPr>
            <w:tcW w:w="0" w:type="auto"/>
            <w:tcBorders>
              <w:bottom w:val="single" w:sz="12" w:space="0" w:color="C0C0C0"/>
              <w:right w:val="single" w:sz="6" w:space="0" w:color="C0C0C0"/>
            </w:tcBorders>
            <w:shd w:val="clear" w:color="auto" w:fill="DEDEDB"/>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b/>
                <w:bCs/>
                <w:color w:val="000000"/>
                <w:sz w:val="19"/>
                <w:szCs w:val="19"/>
              </w:rPr>
              <w:t>Prohibited</w:t>
            </w:r>
          </w:p>
        </w:tc>
      </w:tr>
      <w:tr w:rsidR="009D7307" w:rsidRPr="009D7307" w:rsidTr="009D7307">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Accredited Pension Administrator (APA)</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3%</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26%</w:t>
            </w:r>
          </w:p>
        </w:tc>
      </w:tr>
      <w:tr w:rsidR="009D7307" w:rsidRPr="009D7307" w:rsidTr="009D7307">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Accredited Retirement Plan Consultant (ARPC)</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2%</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24%</w:t>
            </w:r>
          </w:p>
        </w:tc>
      </w:tr>
      <w:tr w:rsidR="009D7307" w:rsidRPr="009D7307" w:rsidTr="009D7307">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Certified Elder Planning Specialist (CEPS)</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2%</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32%</w:t>
            </w:r>
          </w:p>
        </w:tc>
      </w:tr>
      <w:tr w:rsidR="009D7307" w:rsidRPr="009D7307" w:rsidTr="009D7307">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Certified Employee Benefit Specialist (CEBS)</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38%</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15%</w:t>
            </w:r>
          </w:p>
        </w:tc>
      </w:tr>
      <w:tr w:rsidR="009D7307" w:rsidRPr="009D7307" w:rsidTr="009D7307">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Certified Pension Consultant (CPC)</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12%</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19%</w:t>
            </w:r>
          </w:p>
        </w:tc>
      </w:tr>
      <w:tr w:rsidR="009D7307" w:rsidRPr="009D7307" w:rsidTr="009D7307">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Certified Retirement Administrator (CRA)</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5%</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27%</w:t>
            </w:r>
          </w:p>
        </w:tc>
      </w:tr>
      <w:tr w:rsidR="009D7307" w:rsidRPr="009D7307" w:rsidTr="009D7307">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Certified Retirement Consultant</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2%</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24%</w:t>
            </w:r>
          </w:p>
        </w:tc>
      </w:tr>
      <w:tr w:rsidR="009D7307" w:rsidRPr="009D7307" w:rsidTr="009D7307">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Certified Retirement Counselor (CRC)</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35%</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20%</w:t>
            </w:r>
          </w:p>
        </w:tc>
      </w:tr>
      <w:tr w:rsidR="009D7307" w:rsidRPr="009D7307" w:rsidTr="009D7307">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Certified Retirement Financial Advisor (CRFA)</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13%</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33%</w:t>
            </w:r>
          </w:p>
        </w:tc>
      </w:tr>
      <w:tr w:rsidR="009D7307" w:rsidRPr="009D7307" w:rsidTr="009D7307">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Certified Retirement Plan Specialist (CRPS)</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24%</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21%</w:t>
            </w:r>
          </w:p>
        </w:tc>
      </w:tr>
      <w:tr w:rsidR="009D7307" w:rsidRPr="009D7307" w:rsidTr="009D7307">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Certified Retirement Services Professional (CRSP)</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2%</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24%</w:t>
            </w:r>
          </w:p>
        </w:tc>
      </w:tr>
      <w:tr w:rsidR="009D7307" w:rsidRPr="009D7307" w:rsidTr="009D7307">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Certified Senior Advisor (CSA)</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36%</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52%</w:t>
            </w:r>
          </w:p>
        </w:tc>
      </w:tr>
      <w:tr w:rsidR="009D7307" w:rsidRPr="009D7307" w:rsidTr="009D7307">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Certified Senior Consultant (CSC)</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2%</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35%</w:t>
            </w:r>
          </w:p>
        </w:tc>
      </w:tr>
      <w:tr w:rsidR="009D7307" w:rsidRPr="009D7307" w:rsidTr="009D7307">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Certified Senior Financial Planner (CSFP)</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2%</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34%</w:t>
            </w:r>
          </w:p>
        </w:tc>
      </w:tr>
      <w:tr w:rsidR="009D7307" w:rsidRPr="009D7307" w:rsidTr="009D7307">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Chartered Advisor for Senior Living (CASL)</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50%</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16%</w:t>
            </w:r>
          </w:p>
        </w:tc>
      </w:tr>
      <w:tr w:rsidR="009D7307" w:rsidRPr="009D7307" w:rsidTr="009D7307">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Chartered Retirement Plan Specialist (CRPS)</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37%</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13%</w:t>
            </w:r>
          </w:p>
        </w:tc>
      </w:tr>
      <w:tr w:rsidR="009D7307" w:rsidRPr="009D7307" w:rsidTr="009D7307">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Chartered Retirement Planning Counselor (CRPC)</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67%</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10%</w:t>
            </w:r>
          </w:p>
        </w:tc>
      </w:tr>
      <w:tr w:rsidR="009D7307" w:rsidRPr="009D7307" w:rsidTr="009D7307">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Chartered Senior Financial Planner (CSFP)</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4%</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33%</w:t>
            </w:r>
          </w:p>
        </w:tc>
      </w:tr>
      <w:tr w:rsidR="009D7307" w:rsidRPr="009D7307" w:rsidTr="009D7307">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Chief Retirement Officer</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0%</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31%</w:t>
            </w:r>
          </w:p>
        </w:tc>
      </w:tr>
      <w:tr w:rsidR="009D7307" w:rsidRPr="009D7307" w:rsidTr="009D7307">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Director of Retirement Plans</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0%</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30%</w:t>
            </w:r>
          </w:p>
        </w:tc>
      </w:tr>
      <w:tr w:rsidR="009D7307" w:rsidRPr="009D7307" w:rsidTr="009D7307">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Director, Retirement Plans</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0%</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30%</w:t>
            </w:r>
          </w:p>
        </w:tc>
      </w:tr>
      <w:tr w:rsidR="009D7307" w:rsidRPr="009D7307" w:rsidTr="009D7307">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Elder Care Specialist</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0%</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32%</w:t>
            </w:r>
          </w:p>
        </w:tc>
      </w:tr>
      <w:tr w:rsidR="009D7307" w:rsidRPr="009D7307" w:rsidTr="009D7307">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Master Certified Retirement Specialist (MCRS)</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2%</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28%</w:t>
            </w:r>
          </w:p>
        </w:tc>
      </w:tr>
      <w:tr w:rsidR="009D7307" w:rsidRPr="009D7307" w:rsidTr="009D7307">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Personal Retirement Planning Specialist</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0%</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28%</w:t>
            </w:r>
          </w:p>
        </w:tc>
      </w:tr>
      <w:tr w:rsidR="009D7307" w:rsidRPr="009D7307" w:rsidTr="009D7307">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Plan Sponsor Retirement Professional</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2%</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30%</w:t>
            </w:r>
          </w:p>
        </w:tc>
      </w:tr>
      <w:tr w:rsidR="009D7307" w:rsidRPr="009D7307" w:rsidTr="009D7307">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Qualified Pension Administrator (QPA)</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11%</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20%</w:t>
            </w:r>
          </w:p>
        </w:tc>
      </w:tr>
      <w:tr w:rsidR="009D7307" w:rsidRPr="009D7307" w:rsidTr="009D7307">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Qualified Plans Financial Consultant (QPFC)</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13%</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18%</w:t>
            </w:r>
          </w:p>
        </w:tc>
      </w:tr>
      <w:tr w:rsidR="009D7307" w:rsidRPr="009D7307" w:rsidTr="009D7307">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Registered Employee Benefits Consultant (REBC)</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32%</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14%</w:t>
            </w:r>
          </w:p>
        </w:tc>
      </w:tr>
      <w:tr w:rsidR="009D7307" w:rsidRPr="009D7307" w:rsidTr="009D7307">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Retirement and Estate Planning Consultant</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2%</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26%</w:t>
            </w:r>
          </w:p>
        </w:tc>
      </w:tr>
      <w:tr w:rsidR="009D7307" w:rsidRPr="009D7307" w:rsidTr="009D7307">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Retirement Advisor</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1%</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24%</w:t>
            </w:r>
          </w:p>
        </w:tc>
      </w:tr>
      <w:tr w:rsidR="009D7307" w:rsidRPr="009D7307" w:rsidTr="009D7307">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Retirement &amp; Investment Consultant</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0%</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26%</w:t>
            </w:r>
          </w:p>
        </w:tc>
      </w:tr>
      <w:tr w:rsidR="009D7307" w:rsidRPr="009D7307" w:rsidTr="009D7307">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Retirement Income Specialist (RIS)</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7%</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27%</w:t>
            </w:r>
          </w:p>
        </w:tc>
      </w:tr>
      <w:tr w:rsidR="009D7307" w:rsidRPr="009D7307" w:rsidTr="009D7307">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Retirement or Registered Financial Consultant (RFC)</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52%</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15%</w:t>
            </w:r>
          </w:p>
        </w:tc>
      </w:tr>
      <w:tr w:rsidR="009D7307" w:rsidRPr="009D7307" w:rsidTr="009D7307">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Retirement Plan Consultant (RPC)</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2%</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28%</w:t>
            </w:r>
          </w:p>
        </w:tc>
      </w:tr>
      <w:tr w:rsidR="009D7307" w:rsidRPr="009D7307" w:rsidTr="009D7307">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Retirement Planning Specialist</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1%</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29%</w:t>
            </w:r>
          </w:p>
        </w:tc>
      </w:tr>
      <w:tr w:rsidR="009D7307" w:rsidRPr="009D7307" w:rsidTr="009D7307">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Retirement Plans Associate (RPA)</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7%</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23%</w:t>
            </w:r>
          </w:p>
        </w:tc>
      </w:tr>
      <w:tr w:rsidR="009D7307" w:rsidRPr="009D7307" w:rsidTr="009D7307">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Retirement Specialist</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0%</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31%</w:t>
            </w:r>
          </w:p>
        </w:tc>
      </w:tr>
      <w:tr w:rsidR="009D7307" w:rsidRPr="009D7307" w:rsidTr="009D7307">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Senior Advisor</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0%</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31%</w:t>
            </w:r>
          </w:p>
        </w:tc>
      </w:tr>
      <w:tr w:rsidR="009D7307" w:rsidRPr="009D7307" w:rsidTr="009D7307">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Senior Benefits Consultant</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0%</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31%</w:t>
            </w:r>
          </w:p>
        </w:tc>
      </w:tr>
      <w:tr w:rsidR="009D7307" w:rsidRPr="009D7307" w:rsidTr="009D7307">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Senior Financial Advisor</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2%</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31%</w:t>
            </w:r>
          </w:p>
        </w:tc>
      </w:tr>
      <w:tr w:rsidR="009D7307" w:rsidRPr="009D7307" w:rsidTr="009D7307">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Senior Financial Planner (SFP)</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4%</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31%</w:t>
            </w:r>
          </w:p>
        </w:tc>
      </w:tr>
      <w:tr w:rsidR="009D7307" w:rsidRPr="009D7307" w:rsidTr="009D7307">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Senior Investment Executive</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2%</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31%</w:t>
            </w:r>
          </w:p>
        </w:tc>
      </w:tr>
      <w:tr w:rsidR="009D7307" w:rsidRPr="009D7307" w:rsidTr="009D7307">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Senior Markets Manager</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0%</w:t>
            </w:r>
          </w:p>
        </w:tc>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31%</w:t>
            </w:r>
          </w:p>
        </w:tc>
      </w:tr>
      <w:tr w:rsidR="009D7307" w:rsidRPr="009D7307" w:rsidTr="009D7307">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Senior Pension Consultant</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0%</w:t>
            </w:r>
          </w:p>
        </w:tc>
        <w:tc>
          <w:tcPr>
            <w:tcW w:w="0" w:type="auto"/>
            <w:tcBorders>
              <w:bottom w:val="single" w:sz="6" w:space="0" w:color="C0C0C0"/>
              <w:right w:val="single" w:sz="6" w:space="0" w:color="C0C0C0"/>
            </w:tcBorders>
            <w:shd w:val="clear" w:color="auto" w:fill="F8F8F8"/>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30%</w:t>
            </w:r>
          </w:p>
        </w:tc>
      </w:tr>
      <w:tr w:rsidR="009D7307" w:rsidRPr="009D7307" w:rsidTr="009D7307">
        <w:tc>
          <w:tcPr>
            <w:tcW w:w="0" w:type="auto"/>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rPr>
                <w:rFonts w:ascii="Arial" w:hAnsi="Arial" w:cs="Arial"/>
                <w:color w:val="000000"/>
                <w:sz w:val="19"/>
                <w:szCs w:val="19"/>
              </w:rPr>
            </w:pPr>
            <w:r w:rsidRPr="009D7307">
              <w:rPr>
                <w:rFonts w:ascii="Arial" w:hAnsi="Arial" w:cs="Arial"/>
                <w:color w:val="000000"/>
                <w:sz w:val="19"/>
                <w:szCs w:val="19"/>
              </w:rPr>
              <w:t>Other</w:t>
            </w:r>
          </w:p>
        </w:tc>
        <w:tc>
          <w:tcPr>
            <w:tcW w:w="0" w:type="auto"/>
            <w:gridSpan w:val="2"/>
            <w:tcBorders>
              <w:bottom w:val="single" w:sz="6" w:space="0" w:color="C0C0C0"/>
              <w:right w:val="single" w:sz="6" w:space="0" w:color="C0C0C0"/>
            </w:tcBorders>
            <w:vAlign w:val="center"/>
            <w:hideMark/>
          </w:tcPr>
          <w:p w:rsidR="009D7307" w:rsidRPr="009D7307" w:rsidRDefault="009D7307" w:rsidP="009D7307">
            <w:pPr>
              <w:spacing w:before="30" w:after="30" w:line="270" w:lineRule="atLeast"/>
              <w:ind w:left="30" w:right="30"/>
              <w:jc w:val="center"/>
              <w:rPr>
                <w:rFonts w:ascii="Arial" w:hAnsi="Arial" w:cs="Arial"/>
                <w:color w:val="000000"/>
                <w:sz w:val="19"/>
                <w:szCs w:val="19"/>
              </w:rPr>
            </w:pPr>
            <w:r w:rsidRPr="009D7307">
              <w:rPr>
                <w:rFonts w:ascii="Arial" w:hAnsi="Arial" w:cs="Arial"/>
                <w:color w:val="000000"/>
                <w:sz w:val="19"/>
                <w:szCs w:val="19"/>
              </w:rPr>
              <w:t>Firms identified other senior designations that were in use or prohibited.</w:t>
            </w:r>
          </w:p>
        </w:tc>
      </w:tr>
    </w:tbl>
    <w:p w:rsidR="009D7307" w:rsidRPr="009D7307" w:rsidRDefault="009D7307" w:rsidP="009D7307">
      <w:pPr>
        <w:spacing w:line="270" w:lineRule="atLeast"/>
        <w:rPr>
          <w:rFonts w:ascii="Arial" w:hAnsi="Arial" w:cs="Arial"/>
          <w:color w:val="000000"/>
          <w:sz w:val="19"/>
          <w:szCs w:val="19"/>
        </w:rPr>
      </w:pPr>
      <w:r w:rsidRPr="009D7307">
        <w:rPr>
          <w:rFonts w:ascii="Arial" w:hAnsi="Arial" w:cs="Arial"/>
          <w:b/>
          <w:bCs/>
          <w:color w:val="000000"/>
          <w:sz w:val="19"/>
          <w:szCs w:val="19"/>
        </w:rPr>
        <w:t>Disclaimer</w:t>
      </w:r>
    </w:p>
    <w:p w:rsidR="009D7307" w:rsidRPr="009D7307" w:rsidRDefault="009D7307" w:rsidP="009D7307">
      <w:pPr>
        <w:spacing w:line="270" w:lineRule="atLeast"/>
        <w:rPr>
          <w:rFonts w:ascii="Arial" w:hAnsi="Arial" w:cs="Arial"/>
          <w:color w:val="000000"/>
          <w:sz w:val="19"/>
          <w:szCs w:val="19"/>
        </w:rPr>
      </w:pPr>
      <w:r w:rsidRPr="009D7307">
        <w:rPr>
          <w:rFonts w:ascii="Arial" w:hAnsi="Arial" w:cs="Arial"/>
          <w:b/>
          <w:bCs/>
          <w:color w:val="000000"/>
          <w:sz w:val="19"/>
          <w:szCs w:val="19"/>
        </w:rPr>
        <w:t>FINRA does NOT approve or endorse any professional designation.</w:t>
      </w:r>
      <w:r w:rsidRPr="009D7307">
        <w:rPr>
          <w:rFonts w:ascii="Arial" w:hAnsi="Arial" w:cs="Arial"/>
          <w:color w:val="000000"/>
          <w:sz w:val="19"/>
          <w:szCs w:val="19"/>
        </w:rPr>
        <w:t xml:space="preserve"> Nor does a designation's inclusion in the 2011 survey or any information provided above imply that FINRA considers the designation to be acceptable for use by a registered representative. Furthermore, state securities regulators may prohibit or restrict the use of certain listed designations by registered persons and investment adviser representatives.</w:t>
      </w:r>
    </w:p>
    <w:p w:rsidR="009D7307" w:rsidRPr="009D7307" w:rsidRDefault="009D7307" w:rsidP="009D7307">
      <w:pPr>
        <w:spacing w:line="270" w:lineRule="atLeast"/>
        <w:rPr>
          <w:rFonts w:ascii="Arial" w:hAnsi="Arial" w:cs="Arial"/>
          <w:color w:val="000000"/>
          <w:sz w:val="19"/>
          <w:szCs w:val="19"/>
        </w:rPr>
      </w:pPr>
      <w:r w:rsidRPr="009D7307">
        <w:rPr>
          <w:rFonts w:ascii="Arial" w:hAnsi="Arial" w:cs="Arial"/>
          <w:b/>
          <w:bCs/>
          <w:color w:val="000000"/>
          <w:sz w:val="19"/>
          <w:szCs w:val="19"/>
        </w:rPr>
        <w:t>Senior Resources</w:t>
      </w:r>
    </w:p>
    <w:p w:rsidR="009D7307" w:rsidRPr="009D7307" w:rsidRDefault="00B635FB" w:rsidP="009D7307">
      <w:pPr>
        <w:numPr>
          <w:ilvl w:val="0"/>
          <w:numId w:val="2"/>
        </w:numPr>
        <w:spacing w:line="270" w:lineRule="atLeast"/>
        <w:ind w:left="1095"/>
        <w:rPr>
          <w:rFonts w:ascii="Arial" w:hAnsi="Arial" w:cs="Arial"/>
          <w:color w:val="000000"/>
          <w:sz w:val="19"/>
          <w:szCs w:val="19"/>
        </w:rPr>
      </w:pPr>
      <w:hyperlink r:id="rId11" w:history="1">
        <w:r w:rsidR="009D7307" w:rsidRPr="009D7307">
          <w:rPr>
            <w:rFonts w:ascii="Arial" w:hAnsi="Arial" w:cs="Arial"/>
            <w:color w:val="336699"/>
            <w:sz w:val="19"/>
            <w:szCs w:val="19"/>
          </w:rPr>
          <w:t>Financial Industry Regulatory Authority: Investor Education for Seniors</w:t>
        </w:r>
      </w:hyperlink>
    </w:p>
    <w:p w:rsidR="009D7307" w:rsidRPr="009D7307" w:rsidRDefault="00B635FB" w:rsidP="009D7307">
      <w:pPr>
        <w:numPr>
          <w:ilvl w:val="0"/>
          <w:numId w:val="2"/>
        </w:numPr>
        <w:spacing w:line="270" w:lineRule="atLeast"/>
        <w:ind w:left="1095"/>
        <w:rPr>
          <w:rFonts w:ascii="Arial" w:hAnsi="Arial" w:cs="Arial"/>
          <w:color w:val="000000"/>
          <w:sz w:val="19"/>
          <w:szCs w:val="19"/>
        </w:rPr>
      </w:pPr>
      <w:hyperlink r:id="rId12" w:history="1">
        <w:r w:rsidR="009D7307" w:rsidRPr="009D7307">
          <w:rPr>
            <w:rFonts w:ascii="Arial" w:hAnsi="Arial" w:cs="Arial"/>
            <w:color w:val="336699"/>
            <w:sz w:val="19"/>
            <w:szCs w:val="19"/>
          </w:rPr>
          <w:t>Financial Industry Regulatory Authority: Understanding Professional Designations</w:t>
        </w:r>
      </w:hyperlink>
    </w:p>
    <w:p w:rsidR="009D7307" w:rsidRPr="009D7307" w:rsidRDefault="00B635FB" w:rsidP="009D7307">
      <w:pPr>
        <w:numPr>
          <w:ilvl w:val="0"/>
          <w:numId w:val="2"/>
        </w:numPr>
        <w:spacing w:line="270" w:lineRule="atLeast"/>
        <w:ind w:left="1095"/>
        <w:rPr>
          <w:rFonts w:ascii="Arial" w:hAnsi="Arial" w:cs="Arial"/>
          <w:color w:val="000000"/>
          <w:sz w:val="19"/>
          <w:szCs w:val="19"/>
        </w:rPr>
      </w:pPr>
      <w:hyperlink r:id="rId13" w:history="1">
        <w:r w:rsidR="009D7307" w:rsidRPr="009D7307">
          <w:rPr>
            <w:rFonts w:ascii="Arial" w:hAnsi="Arial" w:cs="Arial"/>
            <w:color w:val="336699"/>
            <w:sz w:val="19"/>
            <w:szCs w:val="19"/>
          </w:rPr>
          <w:t>Financial Industry Regulatory Authority: Senior Designation State Laws</w:t>
        </w:r>
      </w:hyperlink>
    </w:p>
    <w:p w:rsidR="009D7307" w:rsidRPr="009D7307" w:rsidRDefault="00B635FB" w:rsidP="009D7307">
      <w:pPr>
        <w:numPr>
          <w:ilvl w:val="0"/>
          <w:numId w:val="2"/>
        </w:numPr>
        <w:spacing w:line="270" w:lineRule="atLeast"/>
        <w:ind w:left="1095"/>
        <w:rPr>
          <w:rFonts w:ascii="Arial" w:hAnsi="Arial" w:cs="Arial"/>
          <w:color w:val="000000"/>
          <w:sz w:val="19"/>
          <w:szCs w:val="19"/>
        </w:rPr>
      </w:pPr>
      <w:hyperlink r:id="rId14" w:history="1">
        <w:r w:rsidR="009D7307" w:rsidRPr="009D7307">
          <w:rPr>
            <w:rFonts w:ascii="Arial" w:hAnsi="Arial" w:cs="Arial"/>
            <w:color w:val="336699"/>
            <w:sz w:val="19"/>
            <w:szCs w:val="19"/>
          </w:rPr>
          <w:t xml:space="preserve">Financial Industry Regulatory Authority: </w:t>
        </w:r>
        <w:proofErr w:type="spellStart"/>
        <w:r w:rsidR="009D7307" w:rsidRPr="009D7307">
          <w:rPr>
            <w:rFonts w:ascii="Arial" w:hAnsi="Arial" w:cs="Arial"/>
            <w:color w:val="336699"/>
            <w:sz w:val="19"/>
            <w:szCs w:val="19"/>
          </w:rPr>
          <w:t>BrokerCheck</w:t>
        </w:r>
        <w:proofErr w:type="spellEnd"/>
      </w:hyperlink>
    </w:p>
    <w:p w:rsidR="009D7307" w:rsidRPr="009D7307" w:rsidRDefault="00B635FB" w:rsidP="009D7307">
      <w:pPr>
        <w:numPr>
          <w:ilvl w:val="0"/>
          <w:numId w:val="2"/>
        </w:numPr>
        <w:spacing w:line="270" w:lineRule="atLeast"/>
        <w:ind w:left="1095"/>
        <w:rPr>
          <w:rFonts w:ascii="Arial" w:hAnsi="Arial" w:cs="Arial"/>
          <w:color w:val="000000"/>
          <w:sz w:val="19"/>
          <w:szCs w:val="19"/>
        </w:rPr>
      </w:pPr>
      <w:hyperlink r:id="rId15" w:history="1">
        <w:r w:rsidR="009D7307" w:rsidRPr="009D7307">
          <w:rPr>
            <w:rFonts w:ascii="Arial" w:hAnsi="Arial" w:cs="Arial"/>
            <w:color w:val="336699"/>
            <w:sz w:val="19"/>
            <w:szCs w:val="19"/>
          </w:rPr>
          <w:t>Federal Bureau of Investigation: Fraud Target – Senior Citizens</w:t>
        </w:r>
      </w:hyperlink>
    </w:p>
    <w:p w:rsidR="009D7307" w:rsidRPr="009D7307" w:rsidRDefault="00B635FB" w:rsidP="009D7307">
      <w:pPr>
        <w:numPr>
          <w:ilvl w:val="0"/>
          <w:numId w:val="2"/>
        </w:numPr>
        <w:spacing w:line="270" w:lineRule="atLeast"/>
        <w:ind w:left="1095"/>
        <w:rPr>
          <w:rFonts w:ascii="Arial" w:hAnsi="Arial" w:cs="Arial"/>
          <w:color w:val="000000"/>
          <w:sz w:val="19"/>
          <w:szCs w:val="19"/>
        </w:rPr>
      </w:pPr>
      <w:hyperlink r:id="rId16" w:history="1">
        <w:r w:rsidR="009D7307" w:rsidRPr="009D7307">
          <w:rPr>
            <w:rFonts w:ascii="Arial" w:hAnsi="Arial" w:cs="Arial"/>
            <w:color w:val="336699"/>
            <w:sz w:val="19"/>
            <w:szCs w:val="19"/>
          </w:rPr>
          <w:t>Securities Exchange Commission: Seniors</w:t>
        </w:r>
      </w:hyperlink>
    </w:p>
    <w:p w:rsidR="009D7307" w:rsidRPr="009D7307" w:rsidRDefault="00B635FB" w:rsidP="009D7307">
      <w:pPr>
        <w:numPr>
          <w:ilvl w:val="0"/>
          <w:numId w:val="2"/>
        </w:numPr>
        <w:spacing w:line="270" w:lineRule="atLeast"/>
        <w:ind w:left="1095"/>
        <w:rPr>
          <w:rFonts w:ascii="Arial" w:hAnsi="Arial" w:cs="Arial"/>
          <w:color w:val="000000"/>
          <w:sz w:val="19"/>
          <w:szCs w:val="19"/>
        </w:rPr>
      </w:pPr>
      <w:hyperlink r:id="rId17" w:history="1">
        <w:r w:rsidR="009D7307" w:rsidRPr="009D7307">
          <w:rPr>
            <w:rFonts w:ascii="Arial" w:hAnsi="Arial" w:cs="Arial"/>
            <w:color w:val="336699"/>
            <w:sz w:val="19"/>
            <w:szCs w:val="19"/>
          </w:rPr>
          <w:t>Securities Exchange Commission: "Senior" Specialists and Advisors: What You Should Know About Professional Designations</w:t>
        </w:r>
      </w:hyperlink>
    </w:p>
    <w:p w:rsidR="009D7307" w:rsidRPr="009D7307" w:rsidRDefault="00B635FB" w:rsidP="009D7307">
      <w:pPr>
        <w:numPr>
          <w:ilvl w:val="0"/>
          <w:numId w:val="2"/>
        </w:numPr>
        <w:spacing w:line="270" w:lineRule="atLeast"/>
        <w:ind w:left="1095"/>
        <w:rPr>
          <w:rFonts w:ascii="Arial" w:hAnsi="Arial" w:cs="Arial"/>
          <w:color w:val="000000"/>
          <w:sz w:val="19"/>
          <w:szCs w:val="19"/>
        </w:rPr>
      </w:pPr>
      <w:hyperlink r:id="rId18" w:history="1">
        <w:r w:rsidR="009D7307" w:rsidRPr="009D7307">
          <w:rPr>
            <w:rFonts w:ascii="Arial" w:hAnsi="Arial" w:cs="Arial"/>
            <w:color w:val="336699"/>
            <w:sz w:val="19"/>
            <w:szCs w:val="19"/>
          </w:rPr>
          <w:t>North American Securities Administrators Association: Senior Investor Resource Center</w:t>
        </w:r>
      </w:hyperlink>
    </w:p>
    <w:p w:rsidR="009D7307" w:rsidRPr="009D7307" w:rsidRDefault="00B635FB" w:rsidP="009D7307">
      <w:pPr>
        <w:numPr>
          <w:ilvl w:val="0"/>
          <w:numId w:val="2"/>
        </w:numPr>
        <w:spacing w:line="270" w:lineRule="atLeast"/>
        <w:ind w:left="1095"/>
        <w:rPr>
          <w:rFonts w:ascii="Arial" w:hAnsi="Arial" w:cs="Arial"/>
          <w:color w:val="000000"/>
          <w:sz w:val="19"/>
          <w:szCs w:val="19"/>
        </w:rPr>
      </w:pPr>
      <w:hyperlink r:id="rId19" w:history="1">
        <w:r w:rsidR="009D7307" w:rsidRPr="009D7307">
          <w:rPr>
            <w:rFonts w:ascii="Arial" w:hAnsi="Arial" w:cs="Arial"/>
            <w:color w:val="336699"/>
            <w:sz w:val="19"/>
            <w:szCs w:val="19"/>
          </w:rPr>
          <w:t>North American Securities Administrators Association: Senior Certification Designation Information Center</w:t>
        </w:r>
      </w:hyperlink>
    </w:p>
    <w:p w:rsidR="009D7307" w:rsidRPr="009D7307" w:rsidRDefault="00B635FB" w:rsidP="009D7307">
      <w:pPr>
        <w:numPr>
          <w:ilvl w:val="0"/>
          <w:numId w:val="2"/>
        </w:numPr>
        <w:spacing w:line="270" w:lineRule="atLeast"/>
        <w:ind w:left="1095"/>
        <w:rPr>
          <w:rFonts w:ascii="Arial" w:hAnsi="Arial" w:cs="Arial"/>
          <w:color w:val="000000"/>
          <w:sz w:val="19"/>
          <w:szCs w:val="19"/>
        </w:rPr>
      </w:pPr>
      <w:hyperlink r:id="rId20" w:history="1">
        <w:r w:rsidR="009D7307" w:rsidRPr="009D7307">
          <w:rPr>
            <w:rFonts w:ascii="Arial" w:hAnsi="Arial" w:cs="Arial"/>
            <w:color w:val="336699"/>
            <w:sz w:val="19"/>
            <w:szCs w:val="19"/>
          </w:rPr>
          <w:t>North American Securities Administrators Association: Misleading Senior Designations</w:t>
        </w:r>
      </w:hyperlink>
    </w:p>
    <w:p w:rsidR="009D7307" w:rsidRPr="009D7307" w:rsidRDefault="009D7307" w:rsidP="009D7307">
      <w:pPr>
        <w:spacing w:line="270" w:lineRule="atLeast"/>
        <w:rPr>
          <w:rFonts w:ascii="Arial" w:hAnsi="Arial" w:cs="Arial"/>
          <w:color w:val="000000"/>
          <w:sz w:val="19"/>
          <w:szCs w:val="19"/>
        </w:rPr>
      </w:pPr>
      <w:r w:rsidRPr="009D7307">
        <w:rPr>
          <w:rFonts w:ascii="Arial" w:hAnsi="Arial" w:cs="Arial"/>
          <w:b/>
          <w:bCs/>
          <w:color w:val="000000"/>
          <w:sz w:val="19"/>
          <w:szCs w:val="19"/>
        </w:rPr>
        <w:t>Papers, Studies and Research Material</w:t>
      </w:r>
    </w:p>
    <w:p w:rsidR="009D7307" w:rsidRPr="009D7307" w:rsidRDefault="00B635FB" w:rsidP="009D7307">
      <w:pPr>
        <w:numPr>
          <w:ilvl w:val="0"/>
          <w:numId w:val="3"/>
        </w:numPr>
        <w:spacing w:line="270" w:lineRule="atLeast"/>
        <w:ind w:left="1095"/>
        <w:rPr>
          <w:rFonts w:ascii="Arial" w:hAnsi="Arial" w:cs="Arial"/>
          <w:color w:val="000000"/>
          <w:sz w:val="19"/>
          <w:szCs w:val="19"/>
        </w:rPr>
      </w:pPr>
      <w:hyperlink r:id="rId21" w:history="1">
        <w:r w:rsidR="009D7307" w:rsidRPr="009D7307">
          <w:rPr>
            <w:rFonts w:ascii="Arial" w:hAnsi="Arial" w:cs="Arial"/>
            <w:color w:val="336699"/>
            <w:sz w:val="19"/>
            <w:szCs w:val="19"/>
          </w:rPr>
          <w:t>North American Securities Administrators Association: Protecting Senior Citizens Against Investment Fraud</w:t>
        </w:r>
      </w:hyperlink>
      <w:r w:rsidR="009D7307" w:rsidRPr="009D7307">
        <w:rPr>
          <w:rFonts w:ascii="Arial" w:hAnsi="Arial" w:cs="Arial"/>
          <w:color w:val="000000"/>
          <w:sz w:val="19"/>
          <w:szCs w:val="19"/>
        </w:rPr>
        <w:t xml:space="preserve"> March 2006</w:t>
      </w:r>
    </w:p>
    <w:p w:rsidR="004F7C66" w:rsidRDefault="004F7C66"/>
    <w:p w:rsidR="00B635FB" w:rsidRDefault="00B635FB">
      <w:r w:rsidRPr="00E25979">
        <w:rPr>
          <w:sz w:val="16"/>
          <w:szCs w:val="16"/>
        </w:rPr>
        <w:t>©FINRA.</w:t>
      </w:r>
      <w:r>
        <w:rPr>
          <w:sz w:val="16"/>
          <w:szCs w:val="16"/>
        </w:rPr>
        <w:t xml:space="preserve">  A</w:t>
      </w:r>
      <w:r w:rsidRPr="00E25979">
        <w:rPr>
          <w:sz w:val="16"/>
          <w:szCs w:val="16"/>
        </w:rPr>
        <w:t>ll rights reserved.</w:t>
      </w:r>
      <w:r>
        <w:rPr>
          <w:sz w:val="16"/>
          <w:szCs w:val="16"/>
        </w:rPr>
        <w:t xml:space="preserve"> </w:t>
      </w:r>
      <w:r w:rsidRPr="00E25979">
        <w:rPr>
          <w:sz w:val="16"/>
          <w:szCs w:val="16"/>
        </w:rPr>
        <w:t>FINRA is a registered trademark of the Financial Industry Regulatory Authority, Inc. Reprinted with permission from FINRA.</w:t>
      </w:r>
      <w:bookmarkStart w:id="0" w:name="_GoBack"/>
      <w:bookmarkEnd w:id="0"/>
    </w:p>
    <w:sectPr w:rsidR="00B635FB" w:rsidSect="00250C4A">
      <w:pgSz w:w="12240" w:h="15840" w:code="1"/>
      <w:pgMar w:top="2160" w:right="1800" w:bottom="158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43EBA"/>
    <w:multiLevelType w:val="multilevel"/>
    <w:tmpl w:val="2832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2E5DCB"/>
    <w:multiLevelType w:val="multilevel"/>
    <w:tmpl w:val="097E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5548E1"/>
    <w:multiLevelType w:val="multilevel"/>
    <w:tmpl w:val="524E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readOnly"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307"/>
    <w:rsid w:val="00226334"/>
    <w:rsid w:val="00250C4A"/>
    <w:rsid w:val="004F7C66"/>
    <w:rsid w:val="00596C58"/>
    <w:rsid w:val="005B0E0E"/>
    <w:rsid w:val="00862B38"/>
    <w:rsid w:val="009D7307"/>
    <w:rsid w:val="00A12529"/>
    <w:rsid w:val="00B63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150579">
      <w:bodyDiv w:val="1"/>
      <w:marLeft w:val="0"/>
      <w:marRight w:val="0"/>
      <w:marTop w:val="0"/>
      <w:marBottom w:val="0"/>
      <w:divBdr>
        <w:top w:val="none" w:sz="0" w:space="0" w:color="auto"/>
        <w:left w:val="none" w:sz="0" w:space="0" w:color="auto"/>
        <w:bottom w:val="none" w:sz="0" w:space="0" w:color="auto"/>
        <w:right w:val="none" w:sz="0" w:space="0" w:color="auto"/>
      </w:divBdr>
      <w:divsChild>
        <w:div w:id="962929892">
          <w:marLeft w:val="0"/>
          <w:marRight w:val="0"/>
          <w:marTop w:val="0"/>
          <w:marBottom w:val="0"/>
          <w:divBdr>
            <w:top w:val="none" w:sz="0" w:space="0" w:color="auto"/>
            <w:left w:val="none" w:sz="0" w:space="0" w:color="auto"/>
            <w:bottom w:val="none" w:sz="0" w:space="0" w:color="auto"/>
            <w:right w:val="none" w:sz="0" w:space="0" w:color="auto"/>
          </w:divBdr>
          <w:divsChild>
            <w:div w:id="1171915701">
              <w:marLeft w:val="0"/>
              <w:marRight w:val="0"/>
              <w:marTop w:val="0"/>
              <w:marBottom w:val="0"/>
              <w:divBdr>
                <w:top w:val="none" w:sz="0" w:space="0" w:color="auto"/>
                <w:left w:val="none" w:sz="0" w:space="0" w:color="auto"/>
                <w:bottom w:val="none" w:sz="0" w:space="0" w:color="auto"/>
                <w:right w:val="none" w:sz="0" w:space="0" w:color="auto"/>
              </w:divBdr>
              <w:divsChild>
                <w:div w:id="1608923408">
                  <w:marLeft w:val="0"/>
                  <w:marRight w:val="0"/>
                  <w:marTop w:val="0"/>
                  <w:marBottom w:val="0"/>
                  <w:divBdr>
                    <w:top w:val="none" w:sz="0" w:space="0" w:color="auto"/>
                    <w:left w:val="none" w:sz="0" w:space="0" w:color="auto"/>
                    <w:bottom w:val="none" w:sz="0" w:space="0" w:color="auto"/>
                    <w:right w:val="none" w:sz="0" w:space="0" w:color="auto"/>
                  </w:divBdr>
                  <w:divsChild>
                    <w:div w:id="393545988">
                      <w:marLeft w:val="0"/>
                      <w:marRight w:val="2400"/>
                      <w:marTop w:val="0"/>
                      <w:marBottom w:val="0"/>
                      <w:divBdr>
                        <w:top w:val="none" w:sz="0" w:space="0" w:color="auto"/>
                        <w:left w:val="none" w:sz="0" w:space="0" w:color="auto"/>
                        <w:bottom w:val="none" w:sz="0" w:space="0" w:color="auto"/>
                        <w:right w:val="none" w:sz="0" w:space="0" w:color="auto"/>
                      </w:divBdr>
                      <w:divsChild>
                        <w:div w:id="42258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ra.org/Industry/Regulation/Notices/2011/P125093" TargetMode="External"/><Relationship Id="rId13" Type="http://schemas.openxmlformats.org/officeDocument/2006/relationships/hyperlink" Target="http://www.finra.org/Investors/ProtectYourself/BeforeYouInvest/p120759" TargetMode="External"/><Relationship Id="rId18" Type="http://schemas.openxmlformats.org/officeDocument/2006/relationships/hyperlink" Target="javascript:outsideLink('http://www.nasaa.org/1723/senior-investor-resource-center/');" TargetMode="External"/><Relationship Id="rId3" Type="http://schemas.microsoft.com/office/2007/relationships/stylesWithEffects" Target="stylesWithEffects.xml"/><Relationship Id="rId21" Type="http://schemas.openxmlformats.org/officeDocument/2006/relationships/hyperlink" Target="javascript:outsideLink('http://www.nasaa.org/862/protecting-senior-citizens-against-investment-fraud/');" TargetMode="External"/><Relationship Id="rId7" Type="http://schemas.openxmlformats.org/officeDocument/2006/relationships/hyperlink" Target="http://www.finra.org/Industry/Regulation/Guidance/P122861" TargetMode="External"/><Relationship Id="rId12" Type="http://schemas.openxmlformats.org/officeDocument/2006/relationships/hyperlink" Target="http://apps.finra.org/DataDirectory/1/prodesignations.aspx" TargetMode="External"/><Relationship Id="rId17" Type="http://schemas.openxmlformats.org/officeDocument/2006/relationships/hyperlink" Target="javascript:outsideLink('http://www.sec.gov/investor/pubs/senior-profdes.htm');" TargetMode="External"/><Relationship Id="rId2" Type="http://schemas.openxmlformats.org/officeDocument/2006/relationships/styles" Target="styles.xml"/><Relationship Id="rId16" Type="http://schemas.openxmlformats.org/officeDocument/2006/relationships/hyperlink" Target="javascript:outsideLink('http://www.sec.gov/investor/seniors.shtml');" TargetMode="External"/><Relationship Id="rId20" Type="http://schemas.openxmlformats.org/officeDocument/2006/relationships/hyperlink" Target="javascript:outsideLink('http://www.nasaa.org/1999/misleading-senior-designations/');" TargetMode="External"/><Relationship Id="rId1" Type="http://schemas.openxmlformats.org/officeDocument/2006/relationships/numbering" Target="numbering.xml"/><Relationship Id="rId6" Type="http://schemas.openxmlformats.org/officeDocument/2006/relationships/hyperlink" Target="http://www.finra.org/Industry/Regulation/Notices/2007/P036815" TargetMode="External"/><Relationship Id="rId11" Type="http://schemas.openxmlformats.org/officeDocument/2006/relationships/hyperlink" Target="javascript:newWindow('http://www.saveandinvest.org/55Plus/');" TargetMode="External"/><Relationship Id="rId5" Type="http://schemas.openxmlformats.org/officeDocument/2006/relationships/webSettings" Target="webSettings.xml"/><Relationship Id="rId15" Type="http://schemas.openxmlformats.org/officeDocument/2006/relationships/hyperlink" Target="javascript:outsidelink('http://www.fbi.gov/scams-safety/fraud/seniors');" TargetMode="External"/><Relationship Id="rId23" Type="http://schemas.openxmlformats.org/officeDocument/2006/relationships/theme" Target="theme/theme1.xml"/><Relationship Id="rId10" Type="http://schemas.openxmlformats.org/officeDocument/2006/relationships/hyperlink" Target="http://www.finra.org/Industry/Regulation/Notices/2011/P125093" TargetMode="External"/><Relationship Id="rId19" Type="http://schemas.openxmlformats.org/officeDocument/2006/relationships/hyperlink" Target="javascript:outsideLink('http://www.nasaa.org/members-only/information-centers/senior-certificationdesignation-information-center/');" TargetMode="External"/><Relationship Id="rId4" Type="http://schemas.openxmlformats.org/officeDocument/2006/relationships/settings" Target="settings.xml"/><Relationship Id="rId9" Type="http://schemas.openxmlformats.org/officeDocument/2006/relationships/hyperlink" Target="http://www.finra.org/Industry/Regulation/Notices/2011/P125093" TargetMode="External"/><Relationship Id="rId14" Type="http://schemas.openxmlformats.org/officeDocument/2006/relationships/hyperlink" Target="http://www.finra.org/Investors/ToolsCalculators/BrokerChec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998</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dc:creator>
  <cp:lastModifiedBy>Jan</cp:lastModifiedBy>
  <cp:revision>2</cp:revision>
  <cp:lastPrinted>2012-02-05T20:55:00Z</cp:lastPrinted>
  <dcterms:created xsi:type="dcterms:W3CDTF">2012-02-05T20:55:00Z</dcterms:created>
  <dcterms:modified xsi:type="dcterms:W3CDTF">2012-02-26T19:00:00Z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